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AB" w:rsidRPr="002C17AB" w:rsidRDefault="002C17AB" w:rsidP="002C17AB">
      <w:pPr>
        <w:shd w:val="clear" w:color="auto" w:fill="FFFFFF"/>
        <w:spacing w:before="480" w:after="480" w:line="240" w:lineRule="auto"/>
        <w:outlineLvl w:val="4"/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eastAsia="en-GB"/>
        </w:rPr>
      </w:pPr>
      <w:proofErr w:type="spellStart"/>
      <w:r w:rsidRPr="002C17AB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eastAsia="en-GB"/>
        </w:rPr>
        <w:t>Condițiile</w:t>
      </w:r>
      <w:proofErr w:type="spellEnd"/>
      <w:r w:rsidRPr="002C17AB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eastAsia="en-GB"/>
        </w:rPr>
        <w:t xml:space="preserve"> de </w:t>
      </w:r>
      <w:proofErr w:type="spellStart"/>
      <w:r w:rsidRPr="002C17AB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eastAsia="en-GB"/>
        </w:rPr>
        <w:t>eligibilitate</w:t>
      </w:r>
      <w:proofErr w:type="spellEnd"/>
      <w:r w:rsidRPr="002C17AB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eastAsia="en-GB"/>
        </w:rPr>
        <w:t>pentru</w:t>
      </w:r>
      <w:proofErr w:type="spellEnd"/>
      <w:r w:rsidRPr="002C17AB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eastAsia="en-GB"/>
        </w:rPr>
        <w:t>anul</w:t>
      </w:r>
      <w:proofErr w:type="spellEnd"/>
      <w:r w:rsidRPr="002C17AB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eastAsia="en-GB"/>
        </w:rPr>
        <w:t>școlar</w:t>
      </w:r>
      <w:proofErr w:type="spellEnd"/>
      <w:r w:rsidRPr="002C17AB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eastAsia="en-GB"/>
        </w:rPr>
        <w:t xml:space="preserve"> 202</w:t>
      </w:r>
      <w:r w:rsidR="00595BF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eastAsia="en-GB"/>
        </w:rPr>
        <w:t>5</w:t>
      </w:r>
      <w:r w:rsidRPr="002C17AB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eastAsia="en-GB"/>
        </w:rPr>
        <w:t>/202</w:t>
      </w:r>
      <w:r w:rsidR="00595BF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eastAsia="en-GB"/>
        </w:rPr>
        <w:t>6</w:t>
      </w:r>
      <w:r w:rsidRPr="002C17AB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eastAsia="en-GB"/>
        </w:rPr>
        <w:t>, conform O.U.G. 83/13.10.2023:</w:t>
      </w:r>
    </w:p>
    <w:p w:rsidR="002C17AB" w:rsidRPr="002C17AB" w:rsidRDefault="002C17AB" w:rsidP="002C17AB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</w:pP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Preșcolarii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înscriși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învățământul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de stat care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îndeplinesc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cumulativ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,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următoarele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br/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criterii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,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potrivit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anunțurilor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postate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de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mai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multe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școli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: «</w:t>
      </w:r>
      <w:proofErr w:type="spellStart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>venitul</w:t>
      </w:r>
      <w:proofErr w:type="spellEnd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 xml:space="preserve"> lunar net </w:t>
      </w:r>
      <w:proofErr w:type="spellStart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>pe</w:t>
      </w:r>
      <w:proofErr w:type="spellEnd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>membru</w:t>
      </w:r>
      <w:proofErr w:type="spellEnd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 xml:space="preserve"> de </w:t>
      </w:r>
      <w:proofErr w:type="spellStart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>familie</w:t>
      </w:r>
      <w:proofErr w:type="spellEnd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>pentru</w:t>
      </w:r>
      <w:proofErr w:type="spellEnd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>copiii</w:t>
      </w:r>
      <w:proofErr w:type="spellEnd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 xml:space="preserve"> din </w:t>
      </w:r>
      <w:proofErr w:type="spellStart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>învățământul</w:t>
      </w:r>
      <w:proofErr w:type="spellEnd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 xml:space="preserve"> de stat </w:t>
      </w:r>
      <w:proofErr w:type="spellStart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>preșcolar</w:t>
      </w:r>
      <w:proofErr w:type="spellEnd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>este</w:t>
      </w:r>
      <w:proofErr w:type="spellEnd"/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 xml:space="preserve"> de maxim </w:t>
      </w:r>
      <w:r w:rsidR="00BE091C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>1287</w:t>
      </w:r>
      <w:r w:rsidRPr="002C17AB">
        <w:rPr>
          <w:rFonts w:ascii="Segoe UI" w:eastAsia="Times New Roman" w:hAnsi="Segoe UI" w:cs="Segoe UI"/>
          <w:b/>
          <w:bCs/>
          <w:color w:val="121416"/>
          <w:sz w:val="24"/>
          <w:szCs w:val="24"/>
          <w:lang w:eastAsia="en-GB"/>
        </w:rPr>
        <w:t xml:space="preserve"> lei </w:t>
      </w:r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(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beneficiază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doar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copiii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preșcolari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înscriși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învățământul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de stat care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îndeplinesc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condițiile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pentru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obținerea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sprijinului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educațional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acordat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copiilor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din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familii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defavorizate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conf.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Legii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nr.248/2015)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venitul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lunar net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pe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membru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de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familie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pentru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copiii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din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învățământul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de stat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primar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și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gimnazial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realizat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in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luna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iulie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202</w:t>
      </w:r>
      <w:r w:rsidR="00595BF3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5</w:t>
      </w:r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și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fie de maxim </w:t>
      </w:r>
      <w:r w:rsidR="00BE091C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1287</w:t>
      </w:r>
      <w:bookmarkStart w:id="0" w:name="_GoBack"/>
      <w:bookmarkEnd w:id="0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lei, (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beneficiază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doar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elevii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înscriși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învățământul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de stat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primar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/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gimnazial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care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îndeplinesc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criteriile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de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venit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stabilite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in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Programul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național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de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rechizite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școlare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, conf.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Ordonanței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Guvernului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nr.33/2001).</w:t>
      </w:r>
    </w:p>
    <w:p w:rsidR="002C17AB" w:rsidRPr="002C17AB" w:rsidRDefault="002C17AB" w:rsidP="002C17AB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</w:pPr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br/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vederea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completării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cererilor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se </w:t>
      </w:r>
      <w:proofErr w:type="spellStart"/>
      <w:proofErr w:type="gram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va</w:t>
      </w:r>
      <w:proofErr w:type="spellEnd"/>
      <w:proofErr w:type="gram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avea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vedere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componența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familiei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definita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la</w:t>
      </w:r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br/>
        <w:t xml:space="preserve">art. 2 din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Ordonanța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Guvernului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nr. 33/2001,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aprobată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prin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Legea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126/2002, cu</w:t>
      </w:r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br/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modificările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și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completările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ulterioare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, respective: «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soțul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,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soția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și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copiii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aflați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întreținerea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acestora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, care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locuiesc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și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se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gospodăresc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împreună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. </w:t>
      </w:r>
      <w:proofErr w:type="gram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Se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asimilează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termenului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de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familie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și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persoana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singură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cu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copii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aflați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întreținere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, care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locuiesc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și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se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gospodăresc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împreună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.</w:t>
      </w:r>
      <w:proofErr w:type="gramEnd"/>
    </w:p>
    <w:p w:rsidR="002C17AB" w:rsidRPr="002C17AB" w:rsidRDefault="002C17AB" w:rsidP="002C17AB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</w:pPr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Se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vor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lua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toate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veniturile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,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inclusiv</w:t>
      </w:r>
      <w:proofErr w:type="spellEnd"/>
      <w:proofErr w:type="gram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:</w:t>
      </w:r>
      <w:proofErr w:type="gram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br/>
        <w:t xml:space="preserve">a)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salariile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obținute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de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membrii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familiei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br/>
        <w:t xml:space="preserve">b)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indemnizațiile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de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șomaj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br/>
        <w:t xml:space="preserve">c)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creanțe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legale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,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convenții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civile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de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întreținere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aflate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executare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,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indemnizație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cu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caracter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permanent</w:t>
      </w:r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br/>
        <w:t xml:space="preserve">d)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alocație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de stat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pentru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copii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br/>
        <w:t xml:space="preserve">e)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alocații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de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întreținere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pentru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copiii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dați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în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plasament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br/>
        <w:t xml:space="preserve">f) burse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pentru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elevi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și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studenți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br/>
        <w:t xml:space="preserve">g)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chirii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br/>
        <w:t xml:space="preserve">h)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venituri</w:t>
      </w:r>
      <w:proofErr w:type="spellEnd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 xml:space="preserve"> </w:t>
      </w:r>
      <w:proofErr w:type="spellStart"/>
      <w:r w:rsidRPr="002C17AB">
        <w:rPr>
          <w:rFonts w:ascii="Segoe UI" w:eastAsia="Times New Roman" w:hAnsi="Segoe UI" w:cs="Segoe UI"/>
          <w:color w:val="121416"/>
          <w:sz w:val="24"/>
          <w:szCs w:val="24"/>
          <w:lang w:eastAsia="en-GB"/>
        </w:rPr>
        <w:t>agricole</w:t>
      </w:r>
      <w:proofErr w:type="spellEnd"/>
    </w:p>
    <w:p w:rsidR="007C2C56" w:rsidRDefault="007C2C56"/>
    <w:sectPr w:rsidR="007C2C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AB"/>
    <w:rsid w:val="002C17AB"/>
    <w:rsid w:val="00595BF3"/>
    <w:rsid w:val="007C2C56"/>
    <w:rsid w:val="00B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C17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C17A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C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17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C17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C17A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C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1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Dorina</cp:lastModifiedBy>
  <cp:revision>2</cp:revision>
  <dcterms:created xsi:type="dcterms:W3CDTF">2024-09-25T06:24:00Z</dcterms:created>
  <dcterms:modified xsi:type="dcterms:W3CDTF">2025-09-12T12:02:00Z</dcterms:modified>
</cp:coreProperties>
</file>